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410D" w:rsidRDefault="00E6410D" w:rsidP="00E6410D">
      <w:pPr>
        <w:jc w:val="center"/>
      </w:pPr>
    </w:p>
    <w:p w:rsidR="00E6410D" w:rsidRDefault="00E6410D" w:rsidP="00E6410D">
      <w:pPr>
        <w:jc w:val="center"/>
      </w:pPr>
    </w:p>
    <w:p w:rsidR="00E0583D" w:rsidRDefault="00E6410D" w:rsidP="00E6410D">
      <w:pPr>
        <w:jc w:val="center"/>
      </w:pPr>
      <w:r>
        <w:t>KARTA PRODUKTU</w:t>
      </w:r>
    </w:p>
    <w:p w:rsidR="00E6410D" w:rsidRDefault="00E6410D" w:rsidP="00E6410D">
      <w:pPr>
        <w:jc w:val="center"/>
      </w:pPr>
    </w:p>
    <w:p w:rsidR="00E6410D" w:rsidRDefault="00E6410D" w:rsidP="00E6410D">
      <w:pPr>
        <w:jc w:val="center"/>
      </w:pPr>
      <w:r>
        <w:t>Ubezpieczenie następstw nieszczęśliwych wypadków indeks NNWS/17/04/01</w:t>
      </w:r>
    </w:p>
    <w:p w:rsidR="00E6410D" w:rsidRDefault="00E6410D" w:rsidP="00E6410D">
      <w:pPr>
        <w:jc w:val="center"/>
      </w:pPr>
    </w:p>
    <w:tbl>
      <w:tblPr>
        <w:tblStyle w:val="Tabela-Siatka"/>
        <w:tblW w:w="10046" w:type="dxa"/>
        <w:tblLook w:val="04A0"/>
      </w:tblPr>
      <w:tblGrid>
        <w:gridCol w:w="3397"/>
        <w:gridCol w:w="6649"/>
      </w:tblGrid>
      <w:tr w:rsidR="00E6410D" w:rsidTr="009B1135">
        <w:trPr>
          <w:trHeight w:val="1120"/>
        </w:trPr>
        <w:tc>
          <w:tcPr>
            <w:tcW w:w="3397" w:type="dxa"/>
          </w:tcPr>
          <w:p w:rsidR="00E6410D" w:rsidRDefault="00E6410D" w:rsidP="00E6410D">
            <w:pPr>
              <w:jc w:val="both"/>
            </w:pPr>
            <w:r>
              <w:t>Śmierć w wyniku wypadku komunikacyjnego</w:t>
            </w:r>
          </w:p>
        </w:tc>
        <w:tc>
          <w:tcPr>
            <w:tcW w:w="6649" w:type="dxa"/>
          </w:tcPr>
          <w:p w:rsidR="00E6410D" w:rsidRDefault="00E6410D" w:rsidP="009B1135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Definicja</w:t>
            </w:r>
            <w:r w:rsidR="001241E9">
              <w:t xml:space="preserve"> „wypadek komunikacyjny” pozostaje niezmieniona, czyli </w:t>
            </w:r>
            <w:r w:rsidR="009B1135">
              <w:t xml:space="preserve">dotyczy </w:t>
            </w:r>
            <w:r w:rsidR="009B1135" w:rsidRPr="00986547">
              <w:t>wypadku</w:t>
            </w:r>
            <w:r w:rsidR="001241E9" w:rsidRPr="00986547">
              <w:t xml:space="preserve"> </w:t>
            </w:r>
            <w:r w:rsidR="009B1135" w:rsidRPr="00986547">
              <w:t>w ruchu lądowym, powietrznym lub wodnym</w:t>
            </w:r>
            <w:r w:rsidR="00986547" w:rsidRPr="00986547">
              <w:t xml:space="preserve"> któremu</w:t>
            </w:r>
            <w:r w:rsidR="009B1135" w:rsidRPr="00986547">
              <w:t xml:space="preserve"> uległ Ubezpieczony</w:t>
            </w:r>
            <w:r w:rsidR="009B1135">
              <w:t xml:space="preserve"> jako:</w:t>
            </w:r>
          </w:p>
          <w:p w:rsidR="009B1135" w:rsidRDefault="009B1135" w:rsidP="009B113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Kierowca bądź pasażer </w:t>
            </w:r>
            <w:proofErr w:type="spellStart"/>
            <w:r>
              <w:t>quada</w:t>
            </w:r>
            <w:proofErr w:type="spellEnd"/>
            <w:r>
              <w:t>, wyłącznie na drodze publicznej lub jako kierowca lub pasażer: samochodu, motoroweru, skutera, autobusu, pojazdu szynowego, rowerzysta lub pieszy w rozumieniu prawa o ruchu drogowym;</w:t>
            </w:r>
          </w:p>
          <w:p w:rsidR="009B1135" w:rsidRDefault="009B1135" w:rsidP="009B1135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Pasażer statku morskiego, promu morskiego lub pasażerskiego statku powietrznego.</w:t>
            </w:r>
          </w:p>
          <w:p w:rsidR="009B1135" w:rsidRDefault="009B1135" w:rsidP="009B1135">
            <w:pPr>
              <w:jc w:val="both"/>
            </w:pPr>
          </w:p>
        </w:tc>
      </w:tr>
      <w:tr w:rsidR="00E6410D" w:rsidTr="009B1135">
        <w:trPr>
          <w:trHeight w:val="272"/>
        </w:trPr>
        <w:tc>
          <w:tcPr>
            <w:tcW w:w="3397" w:type="dxa"/>
          </w:tcPr>
          <w:p w:rsidR="00E6410D" w:rsidRDefault="009B1135" w:rsidP="009B1135">
            <w:pPr>
              <w:jc w:val="both"/>
            </w:pPr>
            <w:r>
              <w:t>Śmierć w wyniku nieszczęśliwego wypadku</w:t>
            </w:r>
          </w:p>
        </w:tc>
        <w:tc>
          <w:tcPr>
            <w:tcW w:w="6649" w:type="dxa"/>
          </w:tcPr>
          <w:p w:rsidR="00E6410D" w:rsidRDefault="00484C8D" w:rsidP="004D1B39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Nieszczęśliwy </w:t>
            </w:r>
            <w:r w:rsidR="00EB4B19">
              <w:t>wypadek,</w:t>
            </w:r>
            <w:r>
              <w:t xml:space="preserve"> czyli przypadkowe, nagłe zdarzenie wywołane wyłącznie przyczyną zewnętrzną, niezależnie od woli i stanu zdrowia Ubezpieczonego, w tym także przeciążenie i dźwignięcie.</w:t>
            </w:r>
          </w:p>
        </w:tc>
      </w:tr>
      <w:tr w:rsidR="00E6410D" w:rsidTr="009B1135">
        <w:trPr>
          <w:trHeight w:val="287"/>
        </w:trPr>
        <w:tc>
          <w:tcPr>
            <w:tcW w:w="3397" w:type="dxa"/>
          </w:tcPr>
          <w:p w:rsidR="00E6410D" w:rsidRDefault="004D1B39" w:rsidP="004D1B39">
            <w:pPr>
              <w:jc w:val="both"/>
            </w:pPr>
            <w:r>
              <w:t>Śmierć w wyniku zawału serca lub udaru mózgu</w:t>
            </w:r>
          </w:p>
        </w:tc>
        <w:tc>
          <w:tcPr>
            <w:tcW w:w="6649" w:type="dxa"/>
          </w:tcPr>
          <w:p w:rsidR="00E6410D" w:rsidRDefault="004D1B39" w:rsidP="004D1B39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Śmierć w następstwie zawału serca-śmierć w następstwie martwicy części mięśnia sercowego, spowodowanej niedokrwieniem, co zostało wskazane jako pierwotna przyczyna zgonu w karcie zgonu lub protokole badania sekcyjnego;</w:t>
            </w:r>
          </w:p>
          <w:p w:rsidR="00484C8D" w:rsidRPr="00484C8D" w:rsidRDefault="004D1B39" w:rsidP="00484C8D">
            <w:pPr>
              <w:pStyle w:val="Akapitzlist"/>
              <w:numPr>
                <w:ilvl w:val="0"/>
                <w:numId w:val="1"/>
              </w:numPr>
            </w:pPr>
            <w:r>
              <w:t>Śmierć w wyniku udaru mózgu- śmierć w następstwie udaru niedokrwiennego</w:t>
            </w:r>
            <w:r w:rsidR="00484C8D">
              <w:t xml:space="preserve">, udaru krwotocznego, krwotoku podpajęczynówkowego na skutek pęknięcia tętniaka wewnątrzczaszkowego, </w:t>
            </w:r>
            <w:r w:rsidR="00484C8D" w:rsidRPr="00484C8D">
              <w:t>wskazane</w:t>
            </w:r>
            <w:r w:rsidR="00484C8D">
              <w:t>go</w:t>
            </w:r>
            <w:r w:rsidR="00484C8D" w:rsidRPr="00484C8D">
              <w:t xml:space="preserve"> jako pierwotna przyczyna zgonu w karcie zgonu lub protokole badania sekcyjnego;</w:t>
            </w:r>
          </w:p>
          <w:p w:rsidR="004D1B39" w:rsidRDefault="004D1B39" w:rsidP="00484C8D">
            <w:pPr>
              <w:pStyle w:val="Akapitzlist"/>
              <w:jc w:val="both"/>
            </w:pPr>
          </w:p>
        </w:tc>
      </w:tr>
      <w:tr w:rsidR="00E6410D" w:rsidTr="009B1135">
        <w:trPr>
          <w:trHeight w:val="272"/>
        </w:trPr>
        <w:tc>
          <w:tcPr>
            <w:tcW w:w="3397" w:type="dxa"/>
          </w:tcPr>
          <w:p w:rsidR="00E6410D" w:rsidRDefault="00484C8D" w:rsidP="00484C8D">
            <w:pPr>
              <w:jc w:val="both"/>
            </w:pPr>
            <w:r w:rsidRPr="00484C8D">
              <w:t>Uszczerbek na zdrowiu lub uszkodzenie ciała w NNW</w:t>
            </w:r>
          </w:p>
        </w:tc>
        <w:tc>
          <w:tcPr>
            <w:tcW w:w="6649" w:type="dxa"/>
          </w:tcPr>
          <w:p w:rsidR="00E6410D" w:rsidRDefault="00484C8D" w:rsidP="00484C8D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Rozbudowana tabela świadczeń z tytułu uszczerbków lub uszkodzeń ciała (ryzyka </w:t>
            </w:r>
            <w:r w:rsidR="009B69FB">
              <w:t>nazwane</w:t>
            </w:r>
            <w:r>
              <w:t xml:space="preserve">) to obszerny (14-stronnicowy) dokument precyzyjnie określający wysokość świadczenia odpowiadająca procentowi SU. Dla wszystkich wariantów NNW obowiązuje ta sama tabela. </w:t>
            </w:r>
            <w:r w:rsidR="00515825">
              <w:t>Zmiana : rozbudowana tabela o nowe świadczenia.</w:t>
            </w:r>
            <w:bookmarkStart w:id="0" w:name="_GoBack"/>
            <w:bookmarkEnd w:id="0"/>
          </w:p>
          <w:p w:rsidR="00484C8D" w:rsidRDefault="00484C8D" w:rsidP="00164824">
            <w:pPr>
              <w:pStyle w:val="Akapitzlist"/>
              <w:jc w:val="both"/>
            </w:pPr>
          </w:p>
        </w:tc>
      </w:tr>
      <w:tr w:rsidR="00E6410D" w:rsidTr="00F12105">
        <w:trPr>
          <w:cantSplit/>
          <w:trHeight w:val="272"/>
        </w:trPr>
        <w:tc>
          <w:tcPr>
            <w:tcW w:w="3397" w:type="dxa"/>
          </w:tcPr>
          <w:p w:rsidR="00E6410D" w:rsidRDefault="00164824" w:rsidP="00164824">
            <w:pPr>
              <w:jc w:val="both"/>
            </w:pPr>
            <w:r>
              <w:lastRenderedPageBreak/>
              <w:t>Pobyt Ubezpieczonego w szpitalu na skutek NNW</w:t>
            </w:r>
          </w:p>
        </w:tc>
        <w:tc>
          <w:tcPr>
            <w:tcW w:w="6649" w:type="dxa"/>
          </w:tcPr>
          <w:p w:rsidR="00E6410D" w:rsidRDefault="00CB1786" w:rsidP="00164824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Zmiana. </w:t>
            </w:r>
            <w:r w:rsidR="00CC3DAF">
              <w:t>Nowością w ofercie jest precyzyjne określenie, iż pobyt w szpitalu rozpoczyna się w momencie przyjęcia Ubezpieczonego do szpitala, a kończy w momencie wypisania Ubezpieczonego ze szpitala. Wpis i wypis ze szpitala nie mogą mieć miejsca tego samego dnia.</w:t>
            </w:r>
            <w:r w:rsidR="00164824">
              <w:t xml:space="preserve"> Jest to bardzo korzystna zmiana, ponieważ świadczenie obejmie także krótkie pobyty obserwacyjne na SOR.</w:t>
            </w:r>
            <w:r>
              <w:t xml:space="preserve"> Nie trzeba być pełnej doby tylko zmiana daty.</w:t>
            </w:r>
          </w:p>
        </w:tc>
      </w:tr>
      <w:tr w:rsidR="00E6410D" w:rsidTr="00F12105">
        <w:trPr>
          <w:cantSplit/>
          <w:trHeight w:val="272"/>
        </w:trPr>
        <w:tc>
          <w:tcPr>
            <w:tcW w:w="3397" w:type="dxa"/>
          </w:tcPr>
          <w:p w:rsidR="00F12105" w:rsidRPr="00F12105" w:rsidRDefault="00F12105" w:rsidP="00F12105">
            <w:r w:rsidRPr="00F12105">
              <w:t xml:space="preserve">Zwrot kosztów nabycia lub naprawy środków pomocniczych NNW </w:t>
            </w:r>
          </w:p>
          <w:p w:rsidR="00E6410D" w:rsidRDefault="00E6410D" w:rsidP="00E6410D">
            <w:pPr>
              <w:jc w:val="center"/>
            </w:pPr>
          </w:p>
        </w:tc>
        <w:tc>
          <w:tcPr>
            <w:tcW w:w="6649" w:type="dxa"/>
          </w:tcPr>
          <w:p w:rsidR="00E6410D" w:rsidRDefault="00F12105" w:rsidP="00F1210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Rozszerzona i dopracowana definicja: „środki pomocnicze”</w:t>
            </w:r>
            <w:r w:rsidR="00986547">
              <w:t>:</w:t>
            </w:r>
            <w:r>
              <w:t xml:space="preserve"> elementy wspomagające proces leczniczy: gorsety, protezy, kule, stabilizatory, temblaki, aparaty ortopedyczne oraz wózki inwalidzkie; za środki pomocnicze nie uznaje się protezy zębowej.</w:t>
            </w:r>
          </w:p>
        </w:tc>
      </w:tr>
      <w:tr w:rsidR="00E6410D" w:rsidTr="009B1135">
        <w:trPr>
          <w:trHeight w:val="272"/>
        </w:trPr>
        <w:tc>
          <w:tcPr>
            <w:tcW w:w="3397" w:type="dxa"/>
          </w:tcPr>
          <w:p w:rsidR="00F12105" w:rsidRPr="00F12105" w:rsidRDefault="00F12105" w:rsidP="00F12105">
            <w:r w:rsidRPr="00F12105">
              <w:t xml:space="preserve">Zwrot kosztów leczenia i rehabilitacji w NNW </w:t>
            </w:r>
          </w:p>
          <w:p w:rsidR="00E6410D" w:rsidRDefault="00E6410D" w:rsidP="00E6410D">
            <w:pPr>
              <w:jc w:val="center"/>
            </w:pPr>
          </w:p>
        </w:tc>
        <w:tc>
          <w:tcPr>
            <w:tcW w:w="6649" w:type="dxa"/>
          </w:tcPr>
          <w:p w:rsidR="000A0DBD" w:rsidRDefault="005E576A" w:rsidP="00F1210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Towarzystwo zwraca Ubezpieczonemu (na podstawie rachunków bądź faktur wystawionych na rzecz Ubezpieczonego) niepokryte z powszechnego ubezpieczenia zdrowotnego lub ubezpieczeń społecznych wydatki poniesione w związku z pobytem w szpitalu, wydatki poniesione na badania, zabiegi i operacje ( w tym niezbędne operacje plastyczne, mające na celu usunięcie oszpecenia wynikłego z NW) oraz zabiegi rehabilitacyjne, pod warunkiem że powyższe zostało zalecone przez lekarza w związku z NW potwierdzone </w:t>
            </w:r>
            <w:r w:rsidR="008C2B40">
              <w:t>dokumentacją</w:t>
            </w:r>
            <w:r>
              <w:t xml:space="preserve"> medyczną.</w:t>
            </w:r>
          </w:p>
          <w:p w:rsidR="00E6410D" w:rsidRDefault="00F12105" w:rsidP="00F12105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Koszty leczenia to wydatki poniesione na terytorium RP niezbędne z medycznego punktu widzenia i udokumentowane koszty z tytułu pobytu w szpitalu, badań, zabiegów, i operacji medycznych związanych z NNW.</w:t>
            </w:r>
          </w:p>
          <w:p w:rsidR="000A0DBD" w:rsidRDefault="000A0DBD" w:rsidP="008C2B40">
            <w:pPr>
              <w:pStyle w:val="Akapitzlist"/>
              <w:jc w:val="both"/>
            </w:pPr>
          </w:p>
        </w:tc>
      </w:tr>
      <w:tr w:rsidR="00E6410D" w:rsidTr="009B1135">
        <w:trPr>
          <w:trHeight w:val="272"/>
        </w:trPr>
        <w:tc>
          <w:tcPr>
            <w:tcW w:w="3397" w:type="dxa"/>
          </w:tcPr>
          <w:p w:rsidR="00E6410D" w:rsidRDefault="000A0DBD" w:rsidP="000A0DBD">
            <w:pPr>
              <w:jc w:val="both"/>
            </w:pPr>
            <w:r w:rsidRPr="000A0DBD">
              <w:t>Wystąpienie poważnego zachorowania u Ubezpieczonego</w:t>
            </w:r>
          </w:p>
        </w:tc>
        <w:tc>
          <w:tcPr>
            <w:tcW w:w="6649" w:type="dxa"/>
          </w:tcPr>
          <w:p w:rsidR="00E6410D" w:rsidRDefault="005E576A" w:rsidP="005E576A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Najbogatszy katalog chorób w zakresie poważnego zachorowania</w:t>
            </w:r>
            <w:r w:rsidR="008C2B40">
              <w:t>, które rozpoznano i zdiagnozowano w trakcie t</w:t>
            </w:r>
            <w:r w:rsidR="00CB1786">
              <w:t>rwania ochrony ubezpieczeniowej w Polsce.</w:t>
            </w:r>
            <w:r w:rsidR="008C2B40">
              <w:t xml:space="preserve"> Ubezpieczony uzyskuje prawo do wypłaty świadczenia z tytułu poważnego </w:t>
            </w:r>
            <w:r w:rsidR="005048EE">
              <w:t>zachorowania,</w:t>
            </w:r>
            <w:r w:rsidR="008C2B40">
              <w:t xml:space="preserve"> jeśli diagnoza poważnego zachorowania nastąpiła przed ukończeniem 25 r. ż ubezpieczonego (wyją</w:t>
            </w:r>
            <w:r w:rsidR="005048EE">
              <w:t>tkiem jest cukrzyca, gdzie świadczenie zostanie przyznane</w:t>
            </w:r>
            <w:r w:rsidR="00D174D6">
              <w:t xml:space="preserve">, pod warunkiem że cukrzyca została zdiagnozowana przed ukończeniem 18 </w:t>
            </w:r>
            <w:proofErr w:type="spellStart"/>
            <w:r w:rsidR="00D174D6">
              <w:t>r.ż</w:t>
            </w:r>
            <w:proofErr w:type="spellEnd"/>
            <w:r w:rsidR="00D174D6">
              <w:t>).</w:t>
            </w:r>
          </w:p>
          <w:p w:rsidR="00D174D6" w:rsidRDefault="00D174D6" w:rsidP="005E576A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Karencja 1 miesiąc</w:t>
            </w:r>
          </w:p>
        </w:tc>
      </w:tr>
      <w:tr w:rsidR="00F12105" w:rsidTr="009B1135">
        <w:trPr>
          <w:trHeight w:val="272"/>
        </w:trPr>
        <w:tc>
          <w:tcPr>
            <w:tcW w:w="3397" w:type="dxa"/>
          </w:tcPr>
          <w:p w:rsidR="00F12105" w:rsidRDefault="00D174D6" w:rsidP="00D174D6">
            <w:pPr>
              <w:jc w:val="both"/>
            </w:pPr>
            <w:r w:rsidRPr="00D174D6">
              <w:t>Śmierć rodzica lub opiekuna prawnego w NNW</w:t>
            </w:r>
          </w:p>
        </w:tc>
        <w:tc>
          <w:tcPr>
            <w:tcW w:w="6649" w:type="dxa"/>
          </w:tcPr>
          <w:p w:rsidR="00F12105" w:rsidRDefault="004E2F99" w:rsidP="004E2F99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Prawo do świadczenia z tytułu śmierci rodzica Ubezpieczonego na skutek NNW zostanie przyznane przed ukończeniem 25. </w:t>
            </w:r>
            <w:proofErr w:type="spellStart"/>
            <w:r>
              <w:t>r.ż</w:t>
            </w:r>
            <w:proofErr w:type="spellEnd"/>
            <w:r>
              <w:t>. Ubezpieczonego.</w:t>
            </w:r>
          </w:p>
        </w:tc>
      </w:tr>
      <w:tr w:rsidR="00F12105" w:rsidTr="009B1135">
        <w:trPr>
          <w:trHeight w:val="272"/>
        </w:trPr>
        <w:tc>
          <w:tcPr>
            <w:tcW w:w="3397" w:type="dxa"/>
          </w:tcPr>
          <w:p w:rsidR="00F12105" w:rsidRDefault="00D174D6" w:rsidP="004E2F99">
            <w:pPr>
              <w:jc w:val="both"/>
            </w:pPr>
            <w:r w:rsidRPr="00D174D6">
              <w:lastRenderedPageBreak/>
              <w:t>Wyczynowe uprawianie sportu</w:t>
            </w:r>
          </w:p>
        </w:tc>
        <w:tc>
          <w:tcPr>
            <w:tcW w:w="6649" w:type="dxa"/>
          </w:tcPr>
          <w:p w:rsidR="00F12105" w:rsidRDefault="004E2F99" w:rsidP="004E2F99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 xml:space="preserve">Rozbudowana definicja </w:t>
            </w:r>
            <w:proofErr w:type="spellStart"/>
            <w:r>
              <w:t>uwzgledniająca</w:t>
            </w:r>
            <w:proofErr w:type="spellEnd"/>
            <w:r>
              <w:t xml:space="preserve"> aktywność sportową</w:t>
            </w:r>
            <w:r w:rsidR="00AC6867">
              <w:t xml:space="preserve"> (ochrona ubezpieczeniowa obejmuje dzieci i młodzież do 20 </w:t>
            </w:r>
            <w:proofErr w:type="spellStart"/>
            <w:r w:rsidR="00AC6867">
              <w:t>r.ż</w:t>
            </w:r>
            <w:proofErr w:type="spellEnd"/>
            <w:r w:rsidR="00AC6867">
              <w:t>)</w:t>
            </w:r>
            <w:r>
              <w:t xml:space="preserve"> podczas zajęć szkolnych, pozaszkolnych i w życiu prywatnym, w tym także jazda konna i sztuki walki. Nowością jest rozszerzenie definicji o szermierkę. </w:t>
            </w:r>
          </w:p>
        </w:tc>
      </w:tr>
      <w:tr w:rsidR="00F12105" w:rsidTr="00CC3DAF">
        <w:trPr>
          <w:cantSplit/>
          <w:trHeight w:val="272"/>
        </w:trPr>
        <w:tc>
          <w:tcPr>
            <w:tcW w:w="3397" w:type="dxa"/>
          </w:tcPr>
          <w:p w:rsidR="00F12105" w:rsidRDefault="00D174D6" w:rsidP="00D174D6">
            <w:pPr>
              <w:jc w:val="both"/>
            </w:pPr>
            <w:r w:rsidRPr="00D174D6">
              <w:t>Pobyt Ubezpieczonego w szpitalu w celu leczenia choroby</w:t>
            </w:r>
          </w:p>
        </w:tc>
        <w:tc>
          <w:tcPr>
            <w:tcW w:w="6649" w:type="dxa"/>
          </w:tcPr>
          <w:p w:rsidR="00F12105" w:rsidRDefault="00D174D6" w:rsidP="00D174D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Opcja dodatkowa;</w:t>
            </w:r>
          </w:p>
          <w:p w:rsidR="00D174D6" w:rsidRDefault="00D174D6" w:rsidP="00D174D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Dwa warianty;</w:t>
            </w:r>
          </w:p>
          <w:p w:rsidR="00D174D6" w:rsidRDefault="00D174D6" w:rsidP="00D174D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Zakup możliwy tylko podczas zakupu NNW jako </w:t>
            </w:r>
            <w:proofErr w:type="spellStart"/>
            <w:r>
              <w:t>doubezpieczenie</w:t>
            </w:r>
            <w:proofErr w:type="spellEnd"/>
            <w:r>
              <w:t>;</w:t>
            </w:r>
          </w:p>
          <w:p w:rsidR="00D174D6" w:rsidRDefault="00CB1786" w:rsidP="00D174D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Zmiana. </w:t>
            </w:r>
            <w:r w:rsidR="00CC3DAF">
              <w:t xml:space="preserve">Wypłata świadczenia za pobyt w szpitalu trwający nieprzerwanie 4 </w:t>
            </w:r>
            <w:r w:rsidR="00EB4B19">
              <w:t>dni, gdzie okres pobytu rozpoczyna się od dnia przyjęcia do dnia wypisania ze szpitala.</w:t>
            </w:r>
            <w:r w:rsidR="00225A79">
              <w:t xml:space="preserve"> 4 dni w szpitalu = 3 doby hotelowe.</w:t>
            </w:r>
          </w:p>
          <w:p w:rsidR="002702B8" w:rsidRDefault="00CB1786" w:rsidP="00D174D6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Zmiana. </w:t>
            </w:r>
            <w:r w:rsidR="002702B8">
              <w:t>Zakres ubezpieczenia nie obejmuje pobytu w szpitalu w celu leczenia chorób, których przyczyny zdiagnozowano, rozpoznano lub leczono w okresie 5 lat poprzedzających datę rozpoczęcia ochrony.</w:t>
            </w:r>
            <w:r>
              <w:t xml:space="preserve"> </w:t>
            </w:r>
          </w:p>
        </w:tc>
      </w:tr>
      <w:tr w:rsidR="00225A79" w:rsidTr="00CC3DAF">
        <w:trPr>
          <w:cantSplit/>
          <w:trHeight w:val="272"/>
        </w:trPr>
        <w:tc>
          <w:tcPr>
            <w:tcW w:w="3397" w:type="dxa"/>
          </w:tcPr>
          <w:p w:rsidR="00225A79" w:rsidRPr="00D174D6" w:rsidRDefault="002702B8" w:rsidP="00D174D6">
            <w:pPr>
              <w:jc w:val="both"/>
            </w:pPr>
            <w:r>
              <w:t xml:space="preserve">Świadczenia </w:t>
            </w:r>
            <w:proofErr w:type="spellStart"/>
            <w:r>
              <w:t>assistance</w:t>
            </w:r>
            <w:proofErr w:type="spellEnd"/>
            <w:r>
              <w:t xml:space="preserve"> dostępne po pobycie w szpitalu w związku z NNW lub chorobą</w:t>
            </w:r>
          </w:p>
        </w:tc>
        <w:tc>
          <w:tcPr>
            <w:tcW w:w="6649" w:type="dxa"/>
          </w:tcPr>
          <w:p w:rsidR="002702B8" w:rsidRDefault="002702B8" w:rsidP="002702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Świadczenie dostępne pod warunkiem spełnienia wymogów: zostało przyznane świadczenie z tytułu pobytu w szpitalu, pobyt w szpitalu trwał co najmniej 7 dni</w:t>
            </w:r>
          </w:p>
          <w:p w:rsidR="002702B8" w:rsidRDefault="002702B8" w:rsidP="002702B8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Rodzaje świadczeń:</w:t>
            </w:r>
          </w:p>
          <w:p w:rsidR="002702B8" w:rsidRDefault="002702B8" w:rsidP="002702B8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Korepetycje (10 h w roku polisowym, 2 h w ramach jednej wizyty korepetytora)</w:t>
            </w:r>
          </w:p>
          <w:p w:rsidR="00986547" w:rsidRDefault="002702B8" w:rsidP="002702B8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Wizyta lekarska (</w:t>
            </w:r>
            <w:r w:rsidR="00986547">
              <w:t>2 wizyty w roku polisowym)</w:t>
            </w:r>
          </w:p>
          <w:p w:rsidR="00986547" w:rsidRDefault="00986547" w:rsidP="002702B8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Wizyta pielęgniarki (2 wizyty w roku polisowym)</w:t>
            </w:r>
          </w:p>
          <w:p w:rsidR="00986547" w:rsidRDefault="00986547" w:rsidP="002702B8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Transport z osobą towarzyszącą do placówki medycznej na wizytę kontrolną w związku z hospitalizacją Ubezpieczonego (2 000 zł w roku polisowym)</w:t>
            </w:r>
          </w:p>
          <w:p w:rsidR="00986547" w:rsidRDefault="00986547" w:rsidP="002702B8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Łóżko szpitalne dla rodzica Ubezpieczonego (2000 zł w roku polisowym)</w:t>
            </w:r>
          </w:p>
          <w:p w:rsidR="00986547" w:rsidRDefault="00986547" w:rsidP="002702B8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Infolinia medyczna- bez limitu.</w:t>
            </w:r>
          </w:p>
          <w:p w:rsidR="00225A79" w:rsidRDefault="002702B8" w:rsidP="00986547">
            <w:pPr>
              <w:pStyle w:val="Akapitzlist"/>
              <w:ind w:left="1440"/>
              <w:jc w:val="both"/>
            </w:pPr>
            <w:r>
              <w:br/>
            </w:r>
            <w:r>
              <w:br/>
            </w:r>
          </w:p>
        </w:tc>
      </w:tr>
    </w:tbl>
    <w:p w:rsidR="00E6410D" w:rsidRDefault="00E6410D" w:rsidP="00E6410D">
      <w:pPr>
        <w:jc w:val="center"/>
      </w:pPr>
    </w:p>
    <w:sectPr w:rsidR="00E6410D" w:rsidSect="00585B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3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E3" w:rsidRDefault="00683DE3">
      <w:r>
        <w:separator/>
      </w:r>
    </w:p>
  </w:endnote>
  <w:endnote w:type="continuationSeparator" w:id="0">
    <w:p w:rsidR="00683DE3" w:rsidRDefault="0068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4" w:rsidRDefault="009C7F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4" w:rsidRDefault="009C7F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4" w:rsidRDefault="009C7F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E3" w:rsidRDefault="00683DE3">
      <w:r>
        <w:separator/>
      </w:r>
    </w:p>
  </w:footnote>
  <w:footnote w:type="continuationSeparator" w:id="0">
    <w:p w:rsidR="00683DE3" w:rsidRDefault="0068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4" w:rsidRDefault="005D38F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8716645</wp:posOffset>
          </wp:positionV>
          <wp:extent cx="6118860" cy="399415"/>
          <wp:effectExtent l="0" t="0" r="0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399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119495" cy="551815"/>
          <wp:effectExtent l="0" t="0" r="0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51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84" w:rsidRDefault="009C7F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836"/>
    <w:multiLevelType w:val="hybridMultilevel"/>
    <w:tmpl w:val="8D3A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F72D6"/>
    <w:multiLevelType w:val="hybridMultilevel"/>
    <w:tmpl w:val="BEAC5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3D270E"/>
    <w:multiLevelType w:val="hybridMultilevel"/>
    <w:tmpl w:val="1A62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7710C"/>
    <w:multiLevelType w:val="hybridMultilevel"/>
    <w:tmpl w:val="2872E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26027"/>
    <w:multiLevelType w:val="hybridMultilevel"/>
    <w:tmpl w:val="3DE62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82F98"/>
    <w:multiLevelType w:val="hybridMultilevel"/>
    <w:tmpl w:val="31529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A4DDD"/>
    <w:multiLevelType w:val="hybridMultilevel"/>
    <w:tmpl w:val="B73AB1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DD5E8B"/>
    <w:multiLevelType w:val="hybridMultilevel"/>
    <w:tmpl w:val="961E6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44861"/>
    <w:multiLevelType w:val="hybridMultilevel"/>
    <w:tmpl w:val="EE7CB85E"/>
    <w:lvl w:ilvl="0" w:tplc="0415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38F7"/>
    <w:rsid w:val="000A0DBD"/>
    <w:rsid w:val="001241E9"/>
    <w:rsid w:val="00164824"/>
    <w:rsid w:val="00225A79"/>
    <w:rsid w:val="002702B8"/>
    <w:rsid w:val="0034532A"/>
    <w:rsid w:val="003764B3"/>
    <w:rsid w:val="00484C8D"/>
    <w:rsid w:val="004A1422"/>
    <w:rsid w:val="004D1B39"/>
    <w:rsid w:val="004E2F99"/>
    <w:rsid w:val="005048EE"/>
    <w:rsid w:val="00515825"/>
    <w:rsid w:val="00585B5D"/>
    <w:rsid w:val="005D38F7"/>
    <w:rsid w:val="005D3E06"/>
    <w:rsid w:val="005E576A"/>
    <w:rsid w:val="00683DE3"/>
    <w:rsid w:val="008C2B40"/>
    <w:rsid w:val="00963705"/>
    <w:rsid w:val="00986547"/>
    <w:rsid w:val="009B1135"/>
    <w:rsid w:val="009B69FB"/>
    <w:rsid w:val="009C7F84"/>
    <w:rsid w:val="00AC6867"/>
    <w:rsid w:val="00B076BE"/>
    <w:rsid w:val="00B86D6E"/>
    <w:rsid w:val="00CB1786"/>
    <w:rsid w:val="00CC3DAF"/>
    <w:rsid w:val="00D174D6"/>
    <w:rsid w:val="00E0583D"/>
    <w:rsid w:val="00E6410D"/>
    <w:rsid w:val="00E92787"/>
    <w:rsid w:val="00EB4B19"/>
    <w:rsid w:val="00F1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5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85B5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85B5D"/>
    <w:pPr>
      <w:spacing w:after="120"/>
    </w:pPr>
  </w:style>
  <w:style w:type="paragraph" w:styleId="Lista">
    <w:name w:val="List"/>
    <w:basedOn w:val="Tekstpodstawowy"/>
    <w:rsid w:val="00585B5D"/>
  </w:style>
  <w:style w:type="paragraph" w:customStyle="1" w:styleId="Podpis1">
    <w:name w:val="Podpis1"/>
    <w:basedOn w:val="Normalny"/>
    <w:rsid w:val="00585B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85B5D"/>
    <w:pPr>
      <w:suppressLineNumbers/>
    </w:pPr>
  </w:style>
  <w:style w:type="paragraph" w:styleId="Nagwek">
    <w:name w:val="header"/>
    <w:basedOn w:val="Normalny"/>
    <w:rsid w:val="00585B5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585B5D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410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2016-03-11T08:45:00Z</cp:lastPrinted>
  <dcterms:created xsi:type="dcterms:W3CDTF">2017-05-17T11:25:00Z</dcterms:created>
  <dcterms:modified xsi:type="dcterms:W3CDTF">2017-05-17T11:25:00Z</dcterms:modified>
</cp:coreProperties>
</file>